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85" w:rsidRPr="00F25FF1" w:rsidRDefault="00846037" w:rsidP="00846037">
      <w:pPr>
        <w:spacing w:after="0" w:line="240" w:lineRule="auto"/>
        <w:jc w:val="right"/>
        <w:rPr>
          <w:rFonts w:ascii="Times New Roman" w:hAnsi="Times New Roman"/>
          <w:b/>
          <w:sz w:val="20"/>
          <w:szCs w:val="20"/>
        </w:rPr>
      </w:pPr>
      <w:r>
        <w:rPr>
          <w:rFonts w:ascii="Times New Roman" w:hAnsi="Times New Roman"/>
          <w:b/>
          <w:sz w:val="20"/>
          <w:szCs w:val="20"/>
        </w:rPr>
        <w:t>Приложение №2</w:t>
      </w:r>
    </w:p>
    <w:p w:rsidR="008335A4" w:rsidRDefault="008335A4" w:rsidP="004D335D">
      <w:pPr>
        <w:pStyle w:val="afff"/>
        <w:spacing w:before="0" w:after="0"/>
        <w:ind w:firstLine="0"/>
        <w:rPr>
          <w:b/>
          <w:i w:val="0"/>
          <w:sz w:val="20"/>
          <w:szCs w:val="20"/>
        </w:rPr>
      </w:pPr>
      <w:bookmarkStart w:id="0"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sidR="00EF7C7C">
        <w:rPr>
          <w:rFonts w:ascii="Times New Roman" w:hAnsi="Times New Roman"/>
          <w:spacing w:val="-4"/>
          <w:sz w:val="20"/>
          <w:szCs w:val="20"/>
        </w:rPr>
        <w:t xml:space="preserve">  «______»_________________ 2022</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752659">
        <w:rPr>
          <w:rFonts w:ascii="Times New Roman" w:hAnsi="Times New Roman"/>
          <w:sz w:val="20"/>
          <w:szCs w:val="20"/>
        </w:rPr>
        <w:t>______________________________с</w:t>
      </w:r>
      <w:proofErr w:type="spellEnd"/>
      <w:r w:rsidRPr="00752659">
        <w:rPr>
          <w:rFonts w:ascii="Times New Roman" w:hAnsi="Times New Roman"/>
          <w:sz w:val="20"/>
          <w:szCs w:val="20"/>
        </w:rPr>
        <w:t xml:space="preserve"> другой стороны, по результатам прове</w:t>
      </w:r>
      <w:r>
        <w:rPr>
          <w:rFonts w:ascii="Times New Roman" w:hAnsi="Times New Roman"/>
          <w:sz w:val="20"/>
          <w:szCs w:val="20"/>
        </w:rPr>
        <w:t>дён</w:t>
      </w:r>
      <w:r w:rsidR="006070BB">
        <w:rPr>
          <w:rFonts w:ascii="Times New Roman" w:hAnsi="Times New Roman"/>
          <w:sz w:val="20"/>
          <w:szCs w:val="20"/>
        </w:rPr>
        <w:t>ного открытого запроса предложений</w:t>
      </w:r>
      <w:r>
        <w:rPr>
          <w:rFonts w:ascii="Times New Roman" w:hAnsi="Times New Roman"/>
          <w:sz w:val="20"/>
          <w:szCs w:val="20"/>
        </w:rPr>
        <w:t xml:space="preserve"> в электронной форме среди субъектов малого и средн</w:t>
      </w:r>
      <w:r w:rsidR="00EF7C7C">
        <w:rPr>
          <w:rFonts w:ascii="Times New Roman" w:hAnsi="Times New Roman"/>
          <w:sz w:val="20"/>
          <w:szCs w:val="20"/>
        </w:rPr>
        <w:t>его предпринимательства №92</w:t>
      </w:r>
      <w:r w:rsidR="006D3489">
        <w:rPr>
          <w:rFonts w:ascii="Times New Roman" w:hAnsi="Times New Roman"/>
          <w:sz w:val="20"/>
          <w:szCs w:val="20"/>
        </w:rPr>
        <w:t>-э ЗП</w:t>
      </w:r>
      <w:r w:rsidRPr="00752659">
        <w:rPr>
          <w:rFonts w:ascii="Times New Roman" w:hAnsi="Times New Roman"/>
          <w:sz w:val="20"/>
          <w:szCs w:val="20"/>
        </w:rPr>
        <w:t xml:space="preserve">-ПГЭС от </w:t>
      </w:r>
      <w:r w:rsidR="00EF7C7C">
        <w:rPr>
          <w:rFonts w:ascii="Times New Roman" w:hAnsi="Times New Roman"/>
          <w:sz w:val="20"/>
          <w:szCs w:val="20"/>
        </w:rPr>
        <w:t>02.08.2022</w:t>
      </w:r>
      <w:r w:rsidR="006D3489">
        <w:rPr>
          <w:rFonts w:ascii="Times New Roman" w:hAnsi="Times New Roman"/>
          <w:sz w:val="20"/>
          <w:szCs w:val="20"/>
        </w:rPr>
        <w:t>г. Протокол №_____ЗП</w:t>
      </w:r>
      <w:r w:rsidR="00EF7C7C">
        <w:rPr>
          <w:rFonts w:ascii="Times New Roman" w:hAnsi="Times New Roman"/>
          <w:sz w:val="20"/>
          <w:szCs w:val="20"/>
        </w:rPr>
        <w:t>-ПГЭС от «_____»_________2022</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752659">
      <w:pPr>
        <w:numPr>
          <w:ilvl w:val="1"/>
          <w:numId w:val="29"/>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Pr>
          <w:rFonts w:ascii="Times New Roman" w:hAnsi="Times New Roman"/>
          <w:b/>
          <w:sz w:val="20"/>
          <w:szCs w:val="20"/>
        </w:rPr>
        <w:t>Пензенская</w:t>
      </w:r>
      <w:proofErr w:type="gramEnd"/>
      <w:r>
        <w:rPr>
          <w:rFonts w:ascii="Times New Roman" w:hAnsi="Times New Roman"/>
          <w:b/>
          <w:sz w:val="20"/>
          <w:szCs w:val="20"/>
        </w:rPr>
        <w:t xml:space="preserve">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752659">
      <w:pPr>
        <w:widowControl w:val="0"/>
        <w:numPr>
          <w:ilvl w:val="1"/>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2659">
        <w:rPr>
          <w:rFonts w:ascii="Times New Roman" w:hAnsi="Times New Roman"/>
          <w:sz w:val="20"/>
          <w:szCs w:val="20"/>
        </w:rPr>
        <w:t>СНиП</w:t>
      </w:r>
      <w:proofErr w:type="spellEnd"/>
      <w:r w:rsidRPr="00752659">
        <w:rPr>
          <w:rFonts w:ascii="Times New Roman" w:hAnsi="Times New Roman"/>
          <w:sz w:val="20"/>
          <w:szCs w:val="20"/>
        </w:rPr>
        <w:t>, ПУЭ, собственными силами.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752659">
      <w:pPr>
        <w:widowControl w:val="0"/>
        <w:numPr>
          <w:ilvl w:val="2"/>
          <w:numId w:val="29"/>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752659">
      <w:pPr>
        <w:widowControl w:val="0"/>
        <w:numPr>
          <w:ilvl w:val="1"/>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752659">
      <w:pPr>
        <w:widowControl w:val="0"/>
        <w:numPr>
          <w:ilvl w:val="2"/>
          <w:numId w:val="29"/>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752659">
      <w:pPr>
        <w:widowControl w:val="0"/>
        <w:numPr>
          <w:ilvl w:val="2"/>
          <w:numId w:val="29"/>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начала работ: в течение 5  дней с момента заключения</w:t>
      </w:r>
      <w:r w:rsidRPr="00752659">
        <w:rPr>
          <w:rFonts w:ascii="Times New Roman" w:hAnsi="Times New Roman"/>
          <w:sz w:val="20"/>
          <w:szCs w:val="20"/>
        </w:rPr>
        <w:t xml:space="preserve">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Срок окончания работ: не </w:t>
      </w:r>
      <w:r w:rsidR="00EF7C7C">
        <w:rPr>
          <w:rFonts w:ascii="Times New Roman" w:hAnsi="Times New Roman"/>
          <w:sz w:val="20"/>
          <w:szCs w:val="20"/>
        </w:rPr>
        <w:t>позднее 31.12.2022</w:t>
      </w:r>
      <w:r>
        <w:rPr>
          <w:rFonts w:ascii="Times New Roman" w:hAnsi="Times New Roman"/>
          <w:sz w:val="20"/>
          <w:szCs w:val="20"/>
        </w:rPr>
        <w:t>г.</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поставки оборудования – не более 2-х месяцев с момента заключения договора.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752659">
      <w:pPr>
        <w:widowControl w:val="0"/>
        <w:numPr>
          <w:ilvl w:val="0"/>
          <w:numId w:val="29"/>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w:t>
      </w:r>
      <w:r w:rsidRPr="00752659">
        <w:rPr>
          <w:rFonts w:ascii="Times New Roman" w:hAnsi="Times New Roman"/>
          <w:sz w:val="20"/>
          <w:szCs w:val="20"/>
        </w:rPr>
        <w:lastRenderedPageBreak/>
        <w:t xml:space="preserve">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xml:space="preserve">- расчет производится не позднее </w:t>
      </w:r>
      <w:r w:rsidR="00EF7C7C">
        <w:rPr>
          <w:rFonts w:ascii="Times New Roman" w:hAnsi="Times New Roman"/>
          <w:sz w:val="20"/>
          <w:szCs w:val="20"/>
        </w:rPr>
        <w:t>7</w:t>
      </w:r>
      <w:r w:rsidRPr="00752659">
        <w:rPr>
          <w:rFonts w:ascii="Times New Roman" w:hAnsi="Times New Roman"/>
          <w:sz w:val="20"/>
          <w:szCs w:val="20"/>
        </w:rPr>
        <w:t xml:space="preserve"> (</w:t>
      </w:r>
      <w:r w:rsidR="00EF7C7C">
        <w:rPr>
          <w:rFonts w:ascii="Times New Roman" w:hAnsi="Times New Roman"/>
          <w:sz w:val="20"/>
          <w:szCs w:val="20"/>
        </w:rPr>
        <w:t>Семи</w:t>
      </w:r>
      <w:r w:rsidRPr="00752659">
        <w:rPr>
          <w:rFonts w:ascii="Times New Roman" w:hAnsi="Times New Roman"/>
          <w:sz w:val="20"/>
          <w:szCs w:val="20"/>
        </w:rPr>
        <w:t xml:space="preserve">)  </w:t>
      </w:r>
      <w:r w:rsidR="00EF7C7C">
        <w:rPr>
          <w:rFonts w:ascii="Times New Roman" w:hAnsi="Times New Roman"/>
          <w:sz w:val="20"/>
          <w:szCs w:val="20"/>
        </w:rPr>
        <w:t>рабочих</w:t>
      </w:r>
      <w:r w:rsidRPr="00752659">
        <w:rPr>
          <w:rFonts w:ascii="Times New Roman" w:hAnsi="Times New Roman"/>
          <w:sz w:val="20"/>
          <w:szCs w:val="20"/>
        </w:rPr>
        <w:t xml:space="preserve"> дней с момента подписания форм КС-2,КС-3, включая устранение выявленных дефектов</w:t>
      </w:r>
    </w:p>
    <w:p w:rsidR="00752659" w:rsidRPr="00752659" w:rsidRDefault="00752659" w:rsidP="00752659">
      <w:pPr>
        <w:widowControl w:val="0"/>
        <w:numPr>
          <w:ilvl w:val="1"/>
          <w:numId w:val="29"/>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752659">
      <w:pPr>
        <w:widowControl w:val="0"/>
        <w:numPr>
          <w:ilvl w:val="0"/>
          <w:numId w:val="31"/>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752659">
      <w:pPr>
        <w:widowControl w:val="0"/>
        <w:numPr>
          <w:ilvl w:val="1"/>
          <w:numId w:val="33"/>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752659">
      <w:pPr>
        <w:widowControl w:val="0"/>
        <w:numPr>
          <w:ilvl w:val="1"/>
          <w:numId w:val="33"/>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752659">
      <w:pPr>
        <w:widowControl w:val="0"/>
        <w:numPr>
          <w:ilvl w:val="0"/>
          <w:numId w:val="33"/>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752659">
      <w:pPr>
        <w:widowControl w:val="0"/>
        <w:numPr>
          <w:ilvl w:val="1"/>
          <w:numId w:val="33"/>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752659">
      <w:pPr>
        <w:widowControl w:val="0"/>
        <w:numPr>
          <w:ilvl w:val="1"/>
          <w:numId w:val="33"/>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752659">
      <w:pPr>
        <w:widowControl w:val="0"/>
        <w:numPr>
          <w:ilvl w:val="0"/>
          <w:numId w:val="32"/>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752659">
      <w:pPr>
        <w:widowControl w:val="0"/>
        <w:numPr>
          <w:ilvl w:val="1"/>
          <w:numId w:val="33"/>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752659">
      <w:pPr>
        <w:widowControl w:val="0"/>
        <w:numPr>
          <w:ilvl w:val="1"/>
          <w:numId w:val="33"/>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752659">
      <w:pPr>
        <w:pStyle w:val="ConsPlusNormal"/>
        <w:numPr>
          <w:ilvl w:val="0"/>
          <w:numId w:val="30"/>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752659">
      <w:pPr>
        <w:pStyle w:val="ConsPlusNormal"/>
        <w:numPr>
          <w:ilvl w:val="1"/>
          <w:numId w:val="34"/>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752659">
      <w:pPr>
        <w:numPr>
          <w:ilvl w:val="0"/>
          <w:numId w:val="30"/>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752659">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w:t>
      </w:r>
      <w:r w:rsidRPr="00752659">
        <w:rPr>
          <w:rFonts w:ascii="Times New Roman" w:hAnsi="Times New Roman"/>
          <w:sz w:val="20"/>
          <w:szCs w:val="20"/>
        </w:rPr>
        <w:lastRenderedPageBreak/>
        <w:t xml:space="preserve">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DB77A4">
      <w:pPr>
        <w:numPr>
          <w:ilvl w:val="1"/>
          <w:numId w:val="35"/>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752659">
      <w:pPr>
        <w:pStyle w:val="ConsPlusNormal"/>
        <w:numPr>
          <w:ilvl w:val="1"/>
          <w:numId w:val="36"/>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2659">
        <w:rPr>
          <w:rFonts w:ascii="Times New Roman" w:hAnsi="Times New Roman"/>
          <w:sz w:val="20"/>
          <w:szCs w:val="20"/>
        </w:rPr>
        <w:t>пп</w:t>
      </w:r>
      <w:proofErr w:type="spellEnd"/>
      <w:r w:rsidRPr="00752659">
        <w:rPr>
          <w:rFonts w:ascii="Times New Roman" w:hAnsi="Times New Roman"/>
          <w:sz w:val="20"/>
          <w:szCs w:val="20"/>
        </w:rPr>
        <w:t>.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pStyle w:val="ConsPlusNormal"/>
        <w:numPr>
          <w:ilvl w:val="0"/>
          <w:numId w:val="30"/>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752659">
      <w:pPr>
        <w:pStyle w:val="ConsPlusNormal"/>
        <w:numPr>
          <w:ilvl w:val="2"/>
          <w:numId w:val="37"/>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752659">
      <w:pPr>
        <w:pStyle w:val="ConsPlusNormal"/>
        <w:numPr>
          <w:ilvl w:val="2"/>
          <w:numId w:val="37"/>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752659">
      <w:pPr>
        <w:pStyle w:val="ConsPlusNormal"/>
        <w:numPr>
          <w:ilvl w:val="1"/>
          <w:numId w:val="37"/>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752659">
      <w:pPr>
        <w:widowControl w:val="0"/>
        <w:numPr>
          <w:ilvl w:val="1"/>
          <w:numId w:val="37"/>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752659">
      <w:pPr>
        <w:pStyle w:val="ConsPlusNormal"/>
        <w:numPr>
          <w:ilvl w:val="0"/>
          <w:numId w:val="37"/>
        </w:numPr>
        <w:ind w:left="0" w:firstLine="0"/>
        <w:jc w:val="center"/>
        <w:rPr>
          <w:rFonts w:ascii="Times New Roman" w:hAnsi="Times New Roman"/>
          <w:b/>
          <w:sz w:val="20"/>
          <w:szCs w:val="20"/>
        </w:rPr>
      </w:pPr>
      <w:r w:rsidRPr="00752659">
        <w:rPr>
          <w:rFonts w:ascii="Times New Roman" w:hAnsi="Times New Roman"/>
          <w:b/>
          <w:sz w:val="20"/>
          <w:szCs w:val="20"/>
        </w:rPr>
        <w:t>Особые условия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752659">
      <w:pPr>
        <w:pStyle w:val="ConsPlusNormal"/>
        <w:numPr>
          <w:ilvl w:val="1"/>
          <w:numId w:val="37"/>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EF7C7C"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  40702810748000016558</w:t>
            </w:r>
          </w:p>
          <w:p w:rsidR="00EF7C7C" w:rsidRPr="00731887" w:rsidRDefault="00EF7C7C" w:rsidP="00EF7C7C">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EF7C7C" w:rsidRPr="00EF7C7C" w:rsidRDefault="00EF7C7C" w:rsidP="00EF7C7C">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EF7C7C">
              <w:rPr>
                <w:rFonts w:ascii="Times New Roman" w:hAnsi="Times New Roman"/>
                <w:sz w:val="20"/>
                <w:szCs w:val="20"/>
                <w:lang w:val="en-US"/>
              </w:rPr>
              <w:t>(8412) 55-04-13</w:t>
            </w:r>
          </w:p>
          <w:p w:rsidR="00752659" w:rsidRPr="00EF7C7C" w:rsidRDefault="00752659" w:rsidP="00752659">
            <w:pPr>
              <w:jc w:val="both"/>
              <w:rPr>
                <w:rFonts w:ascii="Times New Roman" w:hAnsi="Times New Roman"/>
                <w:b/>
                <w:bCs/>
                <w:sz w:val="20"/>
                <w:szCs w:val="20"/>
                <w:lang w:val="en-US"/>
              </w:rPr>
            </w:pPr>
          </w:p>
        </w:tc>
      </w:tr>
    </w:tbl>
    <w:p w:rsidR="00752659" w:rsidRPr="00EF7C7C" w:rsidRDefault="00752659" w:rsidP="00752659">
      <w:pPr>
        <w:shd w:val="clear" w:color="auto" w:fill="FFFFFF"/>
        <w:spacing w:line="240" w:lineRule="atLeast"/>
        <w:jc w:val="both"/>
        <w:rPr>
          <w:rFonts w:ascii="Times New Roman" w:hAnsi="Times New Roman"/>
          <w:b/>
          <w:sz w:val="20"/>
          <w:szCs w:val="20"/>
          <w:lang w:val="en-US"/>
        </w:rPr>
      </w:pPr>
    </w:p>
    <w:p w:rsidR="00752659" w:rsidRPr="00752659" w:rsidRDefault="00752659" w:rsidP="00752659">
      <w:pPr>
        <w:widowControl w:val="0"/>
        <w:numPr>
          <w:ilvl w:val="0"/>
          <w:numId w:val="37"/>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rPr>
      </w:pPr>
    </w:p>
    <w:p w:rsidR="001D74E9" w:rsidRDefault="001D74E9" w:rsidP="004D335D">
      <w:pPr>
        <w:pStyle w:val="afff"/>
        <w:spacing w:before="0" w:after="0"/>
        <w:ind w:firstLine="0"/>
        <w:rPr>
          <w:b/>
          <w:i w:val="0"/>
          <w:sz w:val="20"/>
          <w:szCs w:val="20"/>
        </w:rPr>
      </w:pPr>
    </w:p>
    <w:bookmarkEnd w:id="0"/>
    <w:p w:rsidR="00097685" w:rsidRPr="00F25FF1" w:rsidRDefault="00097685" w:rsidP="00D04909">
      <w:pPr>
        <w:pStyle w:val="a"/>
        <w:spacing w:before="0"/>
        <w:rPr>
          <w:rFonts w:ascii="Times New Roman" w:hAnsi="Times New Roman"/>
          <w:color w:val="FF0000"/>
          <w:sz w:val="20"/>
          <w:szCs w:val="20"/>
        </w:rPr>
      </w:pPr>
    </w:p>
    <w:sectPr w:rsidR="00097685" w:rsidRPr="00F25FF1" w:rsidSect="00846037">
      <w:pgSz w:w="11906" w:h="16838"/>
      <w:pgMar w:top="28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65" w:rsidRDefault="00D36165" w:rsidP="004471A3">
      <w:pPr>
        <w:spacing w:after="0" w:line="240" w:lineRule="auto"/>
      </w:pPr>
      <w:r>
        <w:separator/>
      </w:r>
    </w:p>
  </w:endnote>
  <w:endnote w:type="continuationSeparator" w:id="0">
    <w:p w:rsidR="00D36165" w:rsidRDefault="00D3616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65" w:rsidRDefault="00D36165" w:rsidP="004471A3">
      <w:pPr>
        <w:spacing w:after="0" w:line="240" w:lineRule="auto"/>
      </w:pPr>
      <w:r>
        <w:separator/>
      </w:r>
    </w:p>
  </w:footnote>
  <w:footnote w:type="continuationSeparator" w:id="0">
    <w:p w:rsidR="00D36165" w:rsidRDefault="00D36165"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8060678"/>
    <w:multiLevelType w:val="hybridMultilevel"/>
    <w:tmpl w:val="7FD825E8"/>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AB56D14"/>
    <w:multiLevelType w:val="multilevel"/>
    <w:tmpl w:val="69A8C4C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1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7">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11">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2101101"/>
    <w:multiLevelType w:val="hybridMultilevel"/>
    <w:tmpl w:val="0D6643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27"/>
  </w:num>
  <w:num w:numId="4">
    <w:abstractNumId w:val="19"/>
  </w:num>
  <w:num w:numId="5">
    <w:abstractNumId w:val="26"/>
  </w:num>
  <w:num w:numId="6">
    <w:abstractNumId w:val="32"/>
  </w:num>
  <w:num w:numId="7">
    <w:abstractNumId w:val="9"/>
  </w:num>
  <w:num w:numId="8">
    <w:abstractNumId w:val="21"/>
  </w:num>
  <w:num w:numId="9">
    <w:abstractNumId w:val="1"/>
  </w:num>
  <w:num w:numId="10">
    <w:abstractNumId w:val="22"/>
  </w:num>
  <w:num w:numId="11">
    <w:abstractNumId w:val="4"/>
  </w:num>
  <w:num w:numId="12">
    <w:abstractNumId w:val="13"/>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20"/>
  </w:num>
  <w:num w:numId="18">
    <w:abstractNumId w:val="8"/>
  </w:num>
  <w:num w:numId="19">
    <w:abstractNumId w:val="1"/>
    <w:lvlOverride w:ilvl="0">
      <w:startOverride w:val="9"/>
    </w:lvlOverride>
  </w:num>
  <w:num w:numId="20">
    <w:abstractNumId w:val="1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
  </w:num>
  <w:num w:numId="25">
    <w:abstractNumId w:val="2"/>
  </w:num>
  <w:num w:numId="26">
    <w:abstractNumId w:val="14"/>
  </w:num>
  <w:num w:numId="27">
    <w:abstractNumId w:val="30"/>
  </w:num>
  <w:num w:numId="28">
    <w:abstractNumId w:val="31"/>
  </w:num>
  <w:num w:numId="29">
    <w:abstractNumId w:val="11"/>
  </w:num>
  <w:num w:numId="30">
    <w:abstractNumId w:val="25"/>
  </w:num>
  <w:num w:numId="31">
    <w:abstractNumId w:val="10"/>
  </w:num>
  <w:num w:numId="32">
    <w:abstractNumId w:val="16"/>
  </w:num>
  <w:num w:numId="33">
    <w:abstractNumId w:val="6"/>
  </w:num>
  <w:num w:numId="34">
    <w:abstractNumId w:val="28"/>
  </w:num>
  <w:num w:numId="35">
    <w:abstractNumId w:val="18"/>
  </w:num>
  <w:num w:numId="36">
    <w:abstractNumId w:val="23"/>
  </w:num>
  <w:num w:numId="37">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ocumentProtection w:edit="forms" w:enforcement="0"/>
  <w:defaultTabStop w:val="708"/>
  <w:characterSpacingControl w:val="doNotCompress"/>
  <w:hdrShapeDefaults>
    <o:shapedefaults v:ext="edit" spidmax="13313"/>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37947"/>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726DB"/>
    <w:rsid w:val="003779E3"/>
    <w:rsid w:val="00381D5F"/>
    <w:rsid w:val="003835A6"/>
    <w:rsid w:val="003838BD"/>
    <w:rsid w:val="00393583"/>
    <w:rsid w:val="00396DEB"/>
    <w:rsid w:val="003A14C8"/>
    <w:rsid w:val="003A3611"/>
    <w:rsid w:val="003A4AE9"/>
    <w:rsid w:val="003A584B"/>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17C4"/>
    <w:rsid w:val="00452DB4"/>
    <w:rsid w:val="004664B0"/>
    <w:rsid w:val="004706D7"/>
    <w:rsid w:val="00475633"/>
    <w:rsid w:val="00475BF6"/>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070BB"/>
    <w:rsid w:val="00610AE2"/>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E5A"/>
    <w:rsid w:val="006A7629"/>
    <w:rsid w:val="006B085E"/>
    <w:rsid w:val="006B39FE"/>
    <w:rsid w:val="006B43D6"/>
    <w:rsid w:val="006C4E78"/>
    <w:rsid w:val="006C5E71"/>
    <w:rsid w:val="006D2253"/>
    <w:rsid w:val="006D3489"/>
    <w:rsid w:val="006D5307"/>
    <w:rsid w:val="006D7828"/>
    <w:rsid w:val="006E000C"/>
    <w:rsid w:val="006E0D5D"/>
    <w:rsid w:val="006E1D90"/>
    <w:rsid w:val="006E1F0C"/>
    <w:rsid w:val="006E3403"/>
    <w:rsid w:val="006E6604"/>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4CE5"/>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18DC"/>
    <w:rsid w:val="007E22C8"/>
    <w:rsid w:val="007E6791"/>
    <w:rsid w:val="007F2234"/>
    <w:rsid w:val="007F495D"/>
    <w:rsid w:val="007F4E7B"/>
    <w:rsid w:val="007F68F3"/>
    <w:rsid w:val="00800BDD"/>
    <w:rsid w:val="00807AA8"/>
    <w:rsid w:val="0081126C"/>
    <w:rsid w:val="00811466"/>
    <w:rsid w:val="008127F2"/>
    <w:rsid w:val="0081338D"/>
    <w:rsid w:val="008157EB"/>
    <w:rsid w:val="00816601"/>
    <w:rsid w:val="00817FC0"/>
    <w:rsid w:val="00820681"/>
    <w:rsid w:val="00820F60"/>
    <w:rsid w:val="00821DC9"/>
    <w:rsid w:val="00823F2F"/>
    <w:rsid w:val="008244CD"/>
    <w:rsid w:val="00824B9A"/>
    <w:rsid w:val="00832B96"/>
    <w:rsid w:val="008335A4"/>
    <w:rsid w:val="008335B0"/>
    <w:rsid w:val="008346E0"/>
    <w:rsid w:val="00835520"/>
    <w:rsid w:val="00836AF6"/>
    <w:rsid w:val="00841F17"/>
    <w:rsid w:val="00846037"/>
    <w:rsid w:val="00850E9E"/>
    <w:rsid w:val="0085190B"/>
    <w:rsid w:val="00854035"/>
    <w:rsid w:val="008670D2"/>
    <w:rsid w:val="00876157"/>
    <w:rsid w:val="0088017B"/>
    <w:rsid w:val="00880D14"/>
    <w:rsid w:val="008832D0"/>
    <w:rsid w:val="008870B8"/>
    <w:rsid w:val="0089127A"/>
    <w:rsid w:val="00891C01"/>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07D5"/>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6943"/>
    <w:rsid w:val="00966AC0"/>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D6DD1"/>
    <w:rsid w:val="009E2A2B"/>
    <w:rsid w:val="009E678C"/>
    <w:rsid w:val="009E7FA5"/>
    <w:rsid w:val="009F59F9"/>
    <w:rsid w:val="00A1024E"/>
    <w:rsid w:val="00A13EAE"/>
    <w:rsid w:val="00A14BDD"/>
    <w:rsid w:val="00A2137E"/>
    <w:rsid w:val="00A23E6F"/>
    <w:rsid w:val="00A241E7"/>
    <w:rsid w:val="00A24D4E"/>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3026"/>
    <w:rsid w:val="00AD4CEF"/>
    <w:rsid w:val="00AD55C3"/>
    <w:rsid w:val="00AD7A6A"/>
    <w:rsid w:val="00AE3910"/>
    <w:rsid w:val="00AF26A2"/>
    <w:rsid w:val="00AF277C"/>
    <w:rsid w:val="00AF46DE"/>
    <w:rsid w:val="00B012D5"/>
    <w:rsid w:val="00B038D3"/>
    <w:rsid w:val="00B049A0"/>
    <w:rsid w:val="00B052A5"/>
    <w:rsid w:val="00B0584B"/>
    <w:rsid w:val="00B14CB2"/>
    <w:rsid w:val="00B14DD5"/>
    <w:rsid w:val="00B200EB"/>
    <w:rsid w:val="00B241B6"/>
    <w:rsid w:val="00B2492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1F73"/>
    <w:rsid w:val="00B64DE2"/>
    <w:rsid w:val="00B72808"/>
    <w:rsid w:val="00B8009D"/>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142"/>
    <w:rsid w:val="00CB542E"/>
    <w:rsid w:val="00CB575D"/>
    <w:rsid w:val="00CB6D91"/>
    <w:rsid w:val="00CC477A"/>
    <w:rsid w:val="00CC6102"/>
    <w:rsid w:val="00CD3A8C"/>
    <w:rsid w:val="00CD4A5A"/>
    <w:rsid w:val="00CD6311"/>
    <w:rsid w:val="00CD79B4"/>
    <w:rsid w:val="00CE0168"/>
    <w:rsid w:val="00CE27FB"/>
    <w:rsid w:val="00CE3C57"/>
    <w:rsid w:val="00D04909"/>
    <w:rsid w:val="00D11DF3"/>
    <w:rsid w:val="00D1422C"/>
    <w:rsid w:val="00D17F7D"/>
    <w:rsid w:val="00D2410E"/>
    <w:rsid w:val="00D33EF5"/>
    <w:rsid w:val="00D36165"/>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6B61"/>
    <w:rsid w:val="00DB77A4"/>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3047D"/>
    <w:rsid w:val="00E367AC"/>
    <w:rsid w:val="00E37C2D"/>
    <w:rsid w:val="00E37F8B"/>
    <w:rsid w:val="00E4051D"/>
    <w:rsid w:val="00E40B1D"/>
    <w:rsid w:val="00E431CC"/>
    <w:rsid w:val="00E439B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E0A82"/>
    <w:rsid w:val="00EE166B"/>
    <w:rsid w:val="00EE2B6F"/>
    <w:rsid w:val="00EE2CDB"/>
    <w:rsid w:val="00EE3694"/>
    <w:rsid w:val="00EE731F"/>
    <w:rsid w:val="00EE7D97"/>
    <w:rsid w:val="00EE7FA7"/>
    <w:rsid w:val="00EF51B9"/>
    <w:rsid w:val="00EF7C7C"/>
    <w:rsid w:val="00F00739"/>
    <w:rsid w:val="00F00CB0"/>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73CA0"/>
    <w:rsid w:val="00F80F22"/>
    <w:rsid w:val="00F81F10"/>
    <w:rsid w:val="00F93F04"/>
    <w:rsid w:val="00F966E4"/>
    <w:rsid w:val="00F97ABF"/>
    <w:rsid w:val="00FA71BE"/>
    <w:rsid w:val="00FB04EA"/>
    <w:rsid w:val="00FB485E"/>
    <w:rsid w:val="00FB5EC4"/>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D90E4B"/>
    <w:pPr>
      <w:ind w:left="720"/>
      <w:contextualSpacing/>
    </w:pPr>
  </w:style>
  <w:style w:type="character" w:styleId="ac">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link w:val="aa"/>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rPr>
  </w:style>
  <w:style w:type="character" w:customStyle="1" w:styleId="41">
    <w:name w:val="Заголовок 4 Знак"/>
    <w:link w:val="40"/>
    <w:rsid w:val="00097685"/>
    <w:rPr>
      <w:rFonts w:ascii="Times New Roman" w:eastAsia="Times New Roman" w:hAnsi="Times New Roman"/>
      <w:b/>
      <w:bCs/>
      <w:i/>
      <w:iCs/>
    </w:rPr>
  </w:style>
  <w:style w:type="character" w:customStyle="1" w:styleId="51">
    <w:name w:val="Заголовок 5 Знак"/>
    <w:link w:val="50"/>
    <w:rsid w:val="00097685"/>
    <w:rPr>
      <w:rFonts w:ascii="Times New Roman" w:eastAsia="Times New Roman" w:hAnsi="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b/>
      <w:bCs/>
    </w:rPr>
  </w:style>
  <w:style w:type="character" w:customStyle="1" w:styleId="70">
    <w:name w:val="Заголовок 7 Знак"/>
    <w:aliases w:val="RTC7 Знак"/>
    <w:link w:val="7"/>
    <w:rsid w:val="00097685"/>
    <w:rPr>
      <w:rFonts w:ascii="Times New Roman" w:eastAsia="Times New Roman" w:hAnsi="Times New Roman"/>
      <w:sz w:val="26"/>
      <w:szCs w:val="26"/>
    </w:rPr>
  </w:style>
  <w:style w:type="character" w:customStyle="1" w:styleId="80">
    <w:name w:val="Заголовок 8 Знак"/>
    <w:link w:val="8"/>
    <w:rsid w:val="00097685"/>
    <w:rPr>
      <w:rFonts w:ascii="Times New Roman" w:eastAsia="Times New Roman" w:hAnsi="Times New Roman"/>
      <w:i/>
      <w:iCs/>
      <w:sz w:val="26"/>
      <w:szCs w:val="26"/>
    </w:rPr>
  </w:style>
  <w:style w:type="character" w:customStyle="1" w:styleId="90">
    <w:name w:val="Заголовок 9 Знак"/>
    <w:link w:val="9"/>
    <w:rsid w:val="00097685"/>
    <w:rPr>
      <w:rFonts w:ascii="Arial" w:eastAsia="Times New Roman" w:hAnsi="Arial"/>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nhideWhenUsed/>
    <w:rsid w:val="00097685"/>
    <w:pPr>
      <w:spacing w:after="120" w:line="480" w:lineRule="auto"/>
    </w:pPr>
  </w:style>
  <w:style w:type="character" w:customStyle="1" w:styleId="28">
    <w:name w:val="Основной текст 2 Знак"/>
    <w:link w:val="27"/>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5">
    <w:name w:val="Body Text Indent"/>
    <w:basedOn w:val="a6"/>
    <w:link w:val="afff6"/>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c">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rsid w:val="00097685"/>
    <w:rPr>
      <w:rFonts w:ascii="Times New Roman" w:eastAsia="Times New Roman" w:hAnsi="Times New Roman"/>
      <w:snapToGrid w:val="0"/>
      <w:sz w:val="28"/>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bidi="ar-SA"/>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bidi="ar-SA"/>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lang w:bidi="ar-SA"/>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 w:type="paragraph" w:customStyle="1" w:styleId="20">
    <w:name w:val="Заголовок уровень 2"/>
    <w:basedOn w:val="a6"/>
    <w:uiPriority w:val="99"/>
    <w:rsid w:val="009B057A"/>
    <w:pPr>
      <w:numPr>
        <w:numId w:val="26"/>
      </w:numPr>
      <w:tabs>
        <w:tab w:val="clear" w:pos="360"/>
        <w:tab w:val="num" w:pos="720"/>
      </w:tabs>
      <w:spacing w:before="360" w:after="360" w:line="360" w:lineRule="auto"/>
      <w:ind w:left="720" w:right="-1"/>
      <w:jc w:val="both"/>
    </w:pPr>
    <w:rPr>
      <w:rFonts w:ascii="Times New Roman" w:eastAsia="MS Mincho" w:hAnsi="Times New Roman"/>
      <w:b/>
      <w:bCs/>
      <w:lang w:eastAsia="ru-RU"/>
    </w:rPr>
  </w:style>
  <w:style w:type="paragraph" w:customStyle="1" w:styleId="a1">
    <w:name w:val="Простой тект документа с нумерацией"/>
    <w:basedOn w:val="a6"/>
    <w:uiPriority w:val="99"/>
    <w:rsid w:val="009B057A"/>
    <w:pPr>
      <w:numPr>
        <w:ilvl w:val="1"/>
        <w:numId w:val="26"/>
      </w:numPr>
      <w:tabs>
        <w:tab w:val="clear" w:pos="720"/>
      </w:tabs>
      <w:spacing w:after="0" w:line="360" w:lineRule="auto"/>
      <w:ind w:left="1200" w:right="-1" w:hanging="495"/>
      <w:jc w:val="both"/>
    </w:pPr>
    <w:rPr>
      <w:rFonts w:ascii="Times New Roman" w:eastAsia="MS Mincho" w:hAnsi="Times New Roman"/>
      <w:sz w:val="24"/>
      <w:szCs w:val="24"/>
      <w:lang w:eastAsia="ru-RU"/>
    </w:rPr>
  </w:style>
  <w:style w:type="paragraph" w:customStyle="1" w:styleId="affffff">
    <w:name w:val="А Простой текст"/>
    <w:basedOn w:val="a1"/>
    <w:link w:val="affffff0"/>
    <w:uiPriority w:val="99"/>
    <w:rsid w:val="009B057A"/>
    <w:pPr>
      <w:ind w:left="0" w:firstLine="705"/>
    </w:pPr>
  </w:style>
  <w:style w:type="character" w:customStyle="1" w:styleId="affffff0">
    <w:name w:val="А Простой текст Знак"/>
    <w:basedOn w:val="a7"/>
    <w:link w:val="affffff"/>
    <w:uiPriority w:val="99"/>
    <w:locked/>
    <w:rsid w:val="009B057A"/>
    <w:rPr>
      <w:rFonts w:ascii="Times New Roman" w:eastAsia="MS Mincho" w:hAnsi="Times New Roman"/>
      <w:sz w:val="24"/>
      <w:szCs w:val="24"/>
    </w:rPr>
  </w:style>
  <w:style w:type="paragraph" w:customStyle="1" w:styleId="-1">
    <w:name w:val="Перечень-1"/>
    <w:basedOn w:val="a6"/>
    <w:link w:val="-10"/>
    <w:qFormat/>
    <w:rsid w:val="009B057A"/>
    <w:pPr>
      <w:numPr>
        <w:numId w:val="28"/>
      </w:numPr>
      <w:spacing w:after="0" w:line="360" w:lineRule="auto"/>
      <w:jc w:val="both"/>
    </w:pPr>
    <w:rPr>
      <w:rFonts w:ascii="Times New Roman" w:eastAsia="Times New Roman" w:hAnsi="Times New Roman"/>
    </w:rPr>
  </w:style>
  <w:style w:type="character" w:customStyle="1" w:styleId="-10">
    <w:name w:val="Перечень-1 Знак"/>
    <w:link w:val="-1"/>
    <w:rsid w:val="009B057A"/>
    <w:rPr>
      <w:rFonts w:ascii="Times New Roman" w:eastAsia="Times New Roman" w:hAnsi="Times New Roman"/>
      <w:sz w:val="28"/>
      <w:szCs w:val="28"/>
    </w:rPr>
  </w:style>
  <w:style w:type="character" w:customStyle="1" w:styleId="ConsPlusNormal0">
    <w:name w:val="ConsPlusNormal Знак"/>
    <w:link w:val="ConsPlusNormal"/>
    <w:rsid w:val="00752659"/>
    <w:rPr>
      <w:rFonts w:ascii="Arial" w:eastAsia="Times New Roman" w:hAnsi="Arial"/>
      <w:sz w:val="24"/>
      <w:szCs w:val="24"/>
      <w:lang w:bidi="ar-SA"/>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23159-73D4-4C29-86C3-FE12EC7F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2021-04-07T06:20:00Z</cp:lastPrinted>
  <dcterms:created xsi:type="dcterms:W3CDTF">2022-08-04T11:46:00Z</dcterms:created>
  <dcterms:modified xsi:type="dcterms:W3CDTF">2022-08-04T11:46:00Z</dcterms:modified>
</cp:coreProperties>
</file>